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305445">
      <w:r>
        <w:rPr>
          <w:noProof/>
          <w:lang w:eastAsia="en-AU"/>
        </w:rPr>
        <w:drawing>
          <wp:anchor distT="0" distB="0" distL="114300" distR="114300" simplePos="0" relativeHeight="251658239" behindDoc="0" locked="0" layoutInCell="1" allowOverlap="1" wp14:anchorId="44C61D9A" wp14:editId="7F6A791B">
            <wp:simplePos x="0" y="0"/>
            <wp:positionH relativeFrom="column">
              <wp:posOffset>-914400</wp:posOffset>
            </wp:positionH>
            <wp:positionV relativeFrom="paragraph">
              <wp:posOffset>-904875</wp:posOffset>
            </wp:positionV>
            <wp:extent cx="7553325" cy="88868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6821"/>
                    <a:stretch/>
                  </pic:blipFill>
                  <pic:spPr bwMode="auto">
                    <a:xfrm>
                      <a:off x="0" y="0"/>
                      <a:ext cx="7554508" cy="8888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7FA7B6E2" wp14:editId="601FF350">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430AF0" w:rsidRDefault="00430AF0">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-285750</wp:posOffset>
                </wp:positionH>
                <wp:positionV relativeFrom="paragraph">
                  <wp:posOffset>657860</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47298E" w:rsidRPr="0047298E" w:rsidRDefault="0047298E" w:rsidP="0047298E">
                            <w:pPr>
                              <w:keepNext/>
                              <w:widowControl w:val="0"/>
                              <w:spacing w:before="240" w:after="60"/>
                              <w:outlineLvl w:val="0"/>
                              <w:rPr>
                                <w:rFonts w:ascii="Calibri" w:eastAsia="Times New Roman" w:hAnsi="Calibri" w:cs="Arial"/>
                                <w:b/>
                                <w:bCs/>
                                <w:color w:val="0064A8"/>
                                <w:kern w:val="28"/>
                                <w:sz w:val="40"/>
                                <w:szCs w:val="32"/>
                              </w:rPr>
                            </w:pPr>
                            <w:r w:rsidRPr="0047298E">
                              <w:rPr>
                                <w:rFonts w:ascii="Calibri" w:eastAsia="Times New Roman" w:hAnsi="Calibri" w:cs="Arial"/>
                                <w:b/>
                                <w:bCs/>
                                <w:color w:val="0064A8"/>
                                <w:kern w:val="28"/>
                                <w:sz w:val="40"/>
                                <w:szCs w:val="32"/>
                              </w:rPr>
                              <w:t>RENT BIDDING</w:t>
                            </w:r>
                            <w:bookmarkStart w:id="0" w:name="_GoBack"/>
                            <w:bookmarkEnd w:id="0"/>
                          </w:p>
                          <w:p w:rsidR="0047298E" w:rsidRPr="0047298E" w:rsidRDefault="0047298E" w:rsidP="0047298E">
                            <w:pPr>
                              <w:widowControl w:val="0"/>
                              <w:spacing w:line="240" w:lineRule="auto"/>
                              <w:jc w:val="both"/>
                              <w:rPr>
                                <w:rFonts w:ascii="Calibri" w:eastAsia="Times New Roman" w:hAnsi="Calibri" w:cs="Times New Roman"/>
                                <w:b/>
                              </w:rPr>
                            </w:pPr>
                            <w:r w:rsidRPr="0047298E">
                              <w:rPr>
                                <w:rFonts w:ascii="Calibri" w:eastAsia="Times New Roman" w:hAnsi="Calibri" w:cs="Times New Roman"/>
                                <w:b/>
                              </w:rPr>
                              <w:t>This fact sheet provides information on rent bidding and how Consumer Affairs can assist you if you have a dispute with a property agent or landlord.</w:t>
                            </w: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The Rental Market</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 xml:space="preserve">The </w:t>
                            </w:r>
                            <w:smartTag w:uri="urn:schemas-microsoft-com:office:smarttags" w:element="State">
                              <w:smartTag w:uri="urn:schemas-microsoft-com:office:smarttags" w:element="place">
                                <w:r w:rsidRPr="0047298E">
                                  <w:rPr>
                                    <w:rFonts w:ascii="Calibri" w:eastAsia="Times New Roman" w:hAnsi="Calibri" w:cs="Times New Roman"/>
                                  </w:rPr>
                                  <w:t>Northern Territory</w:t>
                                </w:r>
                              </w:smartTag>
                            </w:smartTag>
                            <w:r w:rsidRPr="0047298E">
                              <w:rPr>
                                <w:rFonts w:ascii="Calibri" w:eastAsia="Times New Roman" w:hAnsi="Calibri" w:cs="Times New Roman"/>
                              </w:rPr>
                              <w:t xml:space="preserve"> is currently experiencing low vacancy rates for residential rental properties, meaning there is strong competition between tenants for those properties that are vacant.</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There have been reports of real estate agents encouraging prospective tenants to make higher rental bids to make their applications more attractive to landlords.</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What is Rent Bidding?</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Rent bidding is when a tenant or an agent negotiates the price of a rental property, rather than renting at a fixed price.</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Rent bidding can include:</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 prospective tenant offering more rent than was advertised without being prompted;</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an agent requesting that prospective tenants offer more rent than was advertised;</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an agent encouraging or seeking competitive bids from applicants;</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advertising a property with a rent range (e.g. “$250 - $300” or “offers above $250”);</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advertising a property with no rental price; or</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holding a rent auction</w:t>
                            </w:r>
                          </w:p>
                          <w:p w:rsidR="00430AF0" w:rsidRPr="00430AF0" w:rsidRDefault="00430AF0" w:rsidP="004215B8">
                            <w:pPr>
                              <w:keepNext/>
                              <w:widowControl w:val="0"/>
                              <w:spacing w:before="240" w:after="60"/>
                              <w:outlineLvl w:val="1"/>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2.5pt;margin-top:51.8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" filled="f" stroked="f">
                <v:textbox>
                  <w:txbxContent>
                    <w:p w:rsidR="0047298E" w:rsidRPr="0047298E" w:rsidRDefault="0047298E" w:rsidP="0047298E">
                      <w:pPr>
                        <w:keepNext/>
                        <w:widowControl w:val="0"/>
                        <w:spacing w:before="240" w:after="60"/>
                        <w:outlineLvl w:val="0"/>
                        <w:rPr>
                          <w:rFonts w:ascii="Calibri" w:eastAsia="Times New Roman" w:hAnsi="Calibri" w:cs="Arial"/>
                          <w:b/>
                          <w:bCs/>
                          <w:color w:val="0064A8"/>
                          <w:kern w:val="28"/>
                          <w:sz w:val="40"/>
                          <w:szCs w:val="32"/>
                        </w:rPr>
                      </w:pPr>
                      <w:r w:rsidRPr="0047298E">
                        <w:rPr>
                          <w:rFonts w:ascii="Calibri" w:eastAsia="Times New Roman" w:hAnsi="Calibri" w:cs="Arial"/>
                          <w:b/>
                          <w:bCs/>
                          <w:color w:val="0064A8"/>
                          <w:kern w:val="28"/>
                          <w:sz w:val="40"/>
                          <w:szCs w:val="32"/>
                        </w:rPr>
                        <w:t>RENT BIDDING</w:t>
                      </w:r>
                      <w:bookmarkStart w:id="1" w:name="_GoBack"/>
                      <w:bookmarkEnd w:id="1"/>
                    </w:p>
                    <w:p w:rsidR="0047298E" w:rsidRPr="0047298E" w:rsidRDefault="0047298E" w:rsidP="0047298E">
                      <w:pPr>
                        <w:widowControl w:val="0"/>
                        <w:spacing w:line="240" w:lineRule="auto"/>
                        <w:jc w:val="both"/>
                        <w:rPr>
                          <w:rFonts w:ascii="Calibri" w:eastAsia="Times New Roman" w:hAnsi="Calibri" w:cs="Times New Roman"/>
                          <w:b/>
                        </w:rPr>
                      </w:pPr>
                      <w:r w:rsidRPr="0047298E">
                        <w:rPr>
                          <w:rFonts w:ascii="Calibri" w:eastAsia="Times New Roman" w:hAnsi="Calibri" w:cs="Times New Roman"/>
                          <w:b/>
                        </w:rPr>
                        <w:t>This fact sheet provides information on rent bidding and how Consumer Affairs can assist you if you have a dispute with a property agent or landlord.</w:t>
                      </w: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The Rental Market</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 xml:space="preserve">The </w:t>
                      </w:r>
                      <w:smartTag w:uri="urn:schemas-microsoft-com:office:smarttags" w:element="State">
                        <w:smartTag w:uri="urn:schemas-microsoft-com:office:smarttags" w:element="place">
                          <w:r w:rsidRPr="0047298E">
                            <w:rPr>
                              <w:rFonts w:ascii="Calibri" w:eastAsia="Times New Roman" w:hAnsi="Calibri" w:cs="Times New Roman"/>
                            </w:rPr>
                            <w:t>Northern Territory</w:t>
                          </w:r>
                        </w:smartTag>
                      </w:smartTag>
                      <w:r w:rsidRPr="0047298E">
                        <w:rPr>
                          <w:rFonts w:ascii="Calibri" w:eastAsia="Times New Roman" w:hAnsi="Calibri" w:cs="Times New Roman"/>
                        </w:rPr>
                        <w:t xml:space="preserve"> is currently experiencing low vacancy rates for residential rental properties, meaning there is strong competition between tenants for those properties that are vacant.</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There have been reports of real estate agents encouraging prospective tenants to make higher rental bids to make their applications more attractive to landlords.</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What is Rent Bidding?</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Rent bidding is when a tenant or an agent negotiates the price of a rental property, rather than renting at a fixed price.</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Rent bidding can include:</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 prospective tenant offering more rent than was advertised without being prompted;</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an agent requesting that prospective tenants offer more rent than was advertised;</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an agent encouraging or seeking competitive bids from applicants;</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advertising a property with a rent range (e.g. “$250 - $300” or “offers above $250”);</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advertising a property with no rental price; or</w:t>
                      </w:r>
                    </w:p>
                    <w:p w:rsidR="0047298E" w:rsidRPr="0047298E" w:rsidRDefault="0047298E" w:rsidP="0047298E">
                      <w:pPr>
                        <w:widowControl w:val="0"/>
                        <w:numPr>
                          <w:ilvl w:val="0"/>
                          <w:numId w:val="3"/>
                        </w:numPr>
                        <w:spacing w:line="240" w:lineRule="auto"/>
                        <w:jc w:val="both"/>
                        <w:rPr>
                          <w:rFonts w:ascii="Calibri" w:eastAsia="Times New Roman" w:hAnsi="Calibri" w:cs="Times New Roman"/>
                        </w:rPr>
                      </w:pPr>
                      <w:r w:rsidRPr="0047298E">
                        <w:rPr>
                          <w:rFonts w:ascii="Calibri" w:eastAsia="Times New Roman" w:hAnsi="Calibri" w:cs="Times New Roman"/>
                        </w:rPr>
                        <w:t>holding a rent auction</w:t>
                      </w:r>
                    </w:p>
                    <w:p w:rsidR="00430AF0" w:rsidRPr="00430AF0" w:rsidRDefault="00430AF0" w:rsidP="004215B8">
                      <w:pPr>
                        <w:keepNext/>
                        <w:widowControl w:val="0"/>
                        <w:spacing w:before="240" w:after="60"/>
                        <w:outlineLvl w:val="1"/>
                        <w:rPr>
                          <w:sz w:val="24"/>
                        </w:rPr>
                      </w:pPr>
                    </w:p>
                  </w:txbxContent>
                </v:textbox>
              </v:shape>
            </w:pict>
          </mc:Fallback>
        </mc:AlternateContent>
      </w:r>
      <w:r>
        <w:br w:type="page"/>
      </w:r>
    </w:p>
    <w:p w:rsidR="005F05C7" w:rsidRDefault="005F05C7">
      <w:pPr>
        <w:rPr>
          <w:noProof/>
          <w:lang w:eastAsia="en-AU"/>
        </w:rPr>
      </w:pPr>
      <w:r>
        <w:rPr>
          <w:noProof/>
          <w:lang w:eastAsia="en-AU"/>
        </w:rPr>
        <w:lastRenderedPageBreak/>
        <w:drawing>
          <wp:anchor distT="0" distB="0" distL="114300" distR="114300" simplePos="0" relativeHeight="251672576" behindDoc="1" locked="0" layoutInCell="1" allowOverlap="1" wp14:anchorId="6162891F" wp14:editId="1C335244">
            <wp:simplePos x="0" y="0"/>
            <wp:positionH relativeFrom="column">
              <wp:posOffset>-923925</wp:posOffset>
            </wp:positionH>
            <wp:positionV relativeFrom="paragraph">
              <wp:posOffset>-952500</wp:posOffset>
            </wp:positionV>
            <wp:extent cx="7591425" cy="1072388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8480" behindDoc="0" locked="0" layoutInCell="1" allowOverlap="1" wp14:anchorId="377C54EA" wp14:editId="37D264A8">
                <wp:simplePos x="0" y="0"/>
                <wp:positionH relativeFrom="column">
                  <wp:posOffset>-657225</wp:posOffset>
                </wp:positionH>
                <wp:positionV relativeFrom="paragraph">
                  <wp:posOffset>247649</wp:posOffset>
                </wp:positionV>
                <wp:extent cx="6991350" cy="8467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467725"/>
                        </a:xfrm>
                        <a:prstGeom prst="rect">
                          <a:avLst/>
                        </a:prstGeom>
                        <a:noFill/>
                        <a:ln w="9525">
                          <a:noFill/>
                          <a:miter lim="800000"/>
                          <a:headEnd/>
                          <a:tailEnd/>
                        </a:ln>
                      </wps:spPr>
                      <wps:txbx>
                        <w:txbxContent>
                          <w:p w:rsidR="0047298E" w:rsidRPr="0047298E" w:rsidRDefault="0047298E" w:rsidP="0047298E">
                            <w:pPr>
                              <w:keepNext/>
                              <w:widowControl w:val="0"/>
                              <w:spacing w:before="240" w:after="60"/>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Is Rent Bidding Legal?</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Some people may consider rent bidding unfair; however, it is not prohibited or illegal.</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Even so, property agents and landlords must not mislead or deceive prospective tenants.  When advertising the rental price, the property agent or landlord must ensure that any representation they make is accurate and not misleading.</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It may be misleading and deceptive conduct where: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at an unrealistically low price, with prospective tenants being asked to offer more;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with a misleading rent range, where the landlord would not rent the property at the lower end of the range;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without a price, and the agent gives applicants unrealistic estimates of what the landlord might accept; or</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proofErr w:type="gramStart"/>
                            <w:r w:rsidRPr="0047298E">
                              <w:rPr>
                                <w:rFonts w:ascii="Calibri" w:eastAsia="Times New Roman" w:hAnsi="Calibri" w:cs="Times New Roman"/>
                              </w:rPr>
                              <w:t>an</w:t>
                            </w:r>
                            <w:proofErr w:type="gramEnd"/>
                            <w:r w:rsidRPr="0047298E">
                              <w:rPr>
                                <w:rFonts w:ascii="Calibri" w:eastAsia="Times New Roman" w:hAnsi="Calibri" w:cs="Times New Roman"/>
                              </w:rPr>
                              <w:t xml:space="preserve"> agent or landlord tells a prospective tenant that another applicant had offered a higher rent when this is untrue.</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Whether conduct is misleading or deceptive depends on the circumstances of each case.</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What can you do?</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Make sure you are aware of your rights when renting a property and make sure you:</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r w:rsidRPr="0047298E">
                              <w:rPr>
                                <w:rFonts w:ascii="Calibri" w:eastAsia="Times New Roman" w:hAnsi="Calibri" w:cs="Times New Roman"/>
                              </w:rPr>
                              <w:t>decide how much you are prepared to pay,</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r w:rsidRPr="0047298E">
                              <w:rPr>
                                <w:rFonts w:ascii="Calibri" w:eastAsia="Times New Roman" w:hAnsi="Calibri" w:cs="Times New Roman"/>
                              </w:rPr>
                              <w:t>set yourself a maximum limit and stick to it; and</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proofErr w:type="gramStart"/>
                            <w:r w:rsidRPr="0047298E">
                              <w:rPr>
                                <w:rFonts w:ascii="Calibri" w:eastAsia="Times New Roman" w:hAnsi="Calibri" w:cs="Times New Roman"/>
                              </w:rPr>
                              <w:t>be</w:t>
                            </w:r>
                            <w:proofErr w:type="gramEnd"/>
                            <w:r w:rsidRPr="0047298E">
                              <w:rPr>
                                <w:rFonts w:ascii="Calibri" w:eastAsia="Times New Roman" w:hAnsi="Calibri" w:cs="Times New Roman"/>
                              </w:rPr>
                              <w:t xml:space="preserve"> careful about high pressure sales tactics.</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 xml:space="preserve">If you have concerns about conduct that you think may be misleading or deceptive, contact Consumer Affairs on </w:t>
                            </w:r>
                            <w:r w:rsidRPr="0047298E">
                              <w:rPr>
                                <w:rFonts w:ascii="Calibri" w:eastAsia="Times New Roman" w:hAnsi="Calibri" w:cs="Times New Roman"/>
                              </w:rPr>
                              <w:br/>
                              <w:t>1800 019 319.</w:t>
                            </w:r>
                          </w:p>
                          <w:p w:rsidR="0047298E" w:rsidRPr="0047298E" w:rsidRDefault="0047298E" w:rsidP="0047298E">
                            <w:pPr>
                              <w:widowControl w:val="0"/>
                              <w:spacing w:line="240" w:lineRule="auto"/>
                              <w:jc w:val="both"/>
                              <w:rPr>
                                <w:rFonts w:ascii="Calibri" w:eastAsia="Times New Roman" w:hAnsi="Calibri" w:cs="Times New Roman"/>
                              </w:rPr>
                            </w:pPr>
                          </w:p>
                          <w:p w:rsidR="005F05C7" w:rsidRDefault="005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54EA" id="_x0000_s1028" type="#_x0000_t202" style="position:absolute;margin-left:-51.75pt;margin-top:19.5pt;width:550.5pt;height:6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" filled="f" stroked="f">
                <v:textbox>
                  <w:txbxContent>
                    <w:p w:rsidR="0047298E" w:rsidRPr="0047298E" w:rsidRDefault="0047298E" w:rsidP="0047298E">
                      <w:pPr>
                        <w:keepNext/>
                        <w:widowControl w:val="0"/>
                        <w:spacing w:before="240" w:after="60"/>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Is Rent Bidding Legal?</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Some people may consider rent bidding unfair; however, it is not prohibited or illegal.</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Even so, property agents and landlords must not mislead or deceive prospective tenants.  When advertising the rental price, the property agent or landlord must ensure that any representation they make is accurate and not misleading.</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It may be misleading and deceptive conduct where: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at an unrealistically low price, with prospective tenants being asked to offer more;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with a misleading rent range, where the landlord would not rent the property at the lower end of the range;</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r w:rsidRPr="0047298E">
                        <w:rPr>
                          <w:rFonts w:ascii="Calibri" w:eastAsia="Times New Roman" w:hAnsi="Calibri" w:cs="Times New Roman"/>
                        </w:rPr>
                        <w:t>a property is listed without a price, and the agent gives applicants unrealistic estimates of what the landlord might accept; or</w:t>
                      </w:r>
                    </w:p>
                    <w:p w:rsidR="0047298E" w:rsidRPr="0047298E" w:rsidRDefault="0047298E" w:rsidP="0047298E">
                      <w:pPr>
                        <w:widowControl w:val="0"/>
                        <w:numPr>
                          <w:ilvl w:val="0"/>
                          <w:numId w:val="4"/>
                        </w:numPr>
                        <w:spacing w:line="240" w:lineRule="auto"/>
                        <w:jc w:val="both"/>
                        <w:rPr>
                          <w:rFonts w:ascii="Calibri" w:eastAsia="Times New Roman" w:hAnsi="Calibri" w:cs="Times New Roman"/>
                        </w:rPr>
                      </w:pPr>
                      <w:proofErr w:type="gramStart"/>
                      <w:r w:rsidRPr="0047298E">
                        <w:rPr>
                          <w:rFonts w:ascii="Calibri" w:eastAsia="Times New Roman" w:hAnsi="Calibri" w:cs="Times New Roman"/>
                        </w:rPr>
                        <w:t>an</w:t>
                      </w:r>
                      <w:proofErr w:type="gramEnd"/>
                      <w:r w:rsidRPr="0047298E">
                        <w:rPr>
                          <w:rFonts w:ascii="Calibri" w:eastAsia="Times New Roman" w:hAnsi="Calibri" w:cs="Times New Roman"/>
                        </w:rPr>
                        <w:t xml:space="preserve"> agent or landlord tells a prospective tenant that another applicant had offered a higher rent when this is untrue.</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Whether conduct is misleading or deceptive depends on the circumstances of each case.</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keepNext/>
                        <w:widowControl w:val="0"/>
                        <w:spacing w:before="240" w:after="60"/>
                        <w:jc w:val="both"/>
                        <w:outlineLvl w:val="1"/>
                        <w:rPr>
                          <w:rFonts w:ascii="Calibri" w:eastAsia="Times New Roman" w:hAnsi="Calibri" w:cs="Arial"/>
                          <w:b/>
                          <w:bCs/>
                          <w:iCs/>
                          <w:color w:val="0064A8"/>
                          <w:sz w:val="28"/>
                          <w:szCs w:val="28"/>
                        </w:rPr>
                      </w:pPr>
                      <w:r w:rsidRPr="0047298E">
                        <w:rPr>
                          <w:rFonts w:ascii="Calibri" w:eastAsia="Times New Roman" w:hAnsi="Calibri" w:cs="Arial"/>
                          <w:b/>
                          <w:bCs/>
                          <w:iCs/>
                          <w:color w:val="0064A8"/>
                          <w:sz w:val="28"/>
                          <w:szCs w:val="28"/>
                        </w:rPr>
                        <w:t>What can you do?</w:t>
                      </w: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Make sure you are aware of your rights when renting a property and make sure you:</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r w:rsidRPr="0047298E">
                        <w:rPr>
                          <w:rFonts w:ascii="Calibri" w:eastAsia="Times New Roman" w:hAnsi="Calibri" w:cs="Times New Roman"/>
                        </w:rPr>
                        <w:t>decide how much you are prepared to pay,</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r w:rsidRPr="0047298E">
                        <w:rPr>
                          <w:rFonts w:ascii="Calibri" w:eastAsia="Times New Roman" w:hAnsi="Calibri" w:cs="Times New Roman"/>
                        </w:rPr>
                        <w:t>set yourself a maximum limit and stick to it; and</w:t>
                      </w:r>
                    </w:p>
                    <w:p w:rsidR="0047298E" w:rsidRPr="0047298E" w:rsidRDefault="0047298E" w:rsidP="0047298E">
                      <w:pPr>
                        <w:widowControl w:val="0"/>
                        <w:numPr>
                          <w:ilvl w:val="0"/>
                          <w:numId w:val="5"/>
                        </w:numPr>
                        <w:spacing w:line="240" w:lineRule="auto"/>
                        <w:jc w:val="both"/>
                        <w:rPr>
                          <w:rFonts w:ascii="Calibri" w:eastAsia="Times New Roman" w:hAnsi="Calibri" w:cs="Times New Roman"/>
                        </w:rPr>
                      </w:pPr>
                      <w:proofErr w:type="gramStart"/>
                      <w:r w:rsidRPr="0047298E">
                        <w:rPr>
                          <w:rFonts w:ascii="Calibri" w:eastAsia="Times New Roman" w:hAnsi="Calibri" w:cs="Times New Roman"/>
                        </w:rPr>
                        <w:t>be</w:t>
                      </w:r>
                      <w:proofErr w:type="gramEnd"/>
                      <w:r w:rsidRPr="0047298E">
                        <w:rPr>
                          <w:rFonts w:ascii="Calibri" w:eastAsia="Times New Roman" w:hAnsi="Calibri" w:cs="Times New Roman"/>
                        </w:rPr>
                        <w:t xml:space="preserve"> careful about high pressure sales tactics.</w:t>
                      </w:r>
                    </w:p>
                    <w:p w:rsidR="0047298E" w:rsidRPr="0047298E" w:rsidRDefault="0047298E" w:rsidP="0047298E">
                      <w:pPr>
                        <w:widowControl w:val="0"/>
                        <w:spacing w:line="240" w:lineRule="auto"/>
                        <w:jc w:val="both"/>
                        <w:rPr>
                          <w:rFonts w:ascii="Calibri" w:eastAsia="Times New Roman" w:hAnsi="Calibri" w:cs="Times New Roman"/>
                        </w:rPr>
                      </w:pPr>
                    </w:p>
                    <w:p w:rsidR="0047298E" w:rsidRPr="0047298E" w:rsidRDefault="0047298E" w:rsidP="0047298E">
                      <w:pPr>
                        <w:widowControl w:val="0"/>
                        <w:spacing w:line="240" w:lineRule="auto"/>
                        <w:jc w:val="both"/>
                        <w:rPr>
                          <w:rFonts w:ascii="Calibri" w:eastAsia="Times New Roman" w:hAnsi="Calibri" w:cs="Times New Roman"/>
                        </w:rPr>
                      </w:pPr>
                      <w:r w:rsidRPr="0047298E">
                        <w:rPr>
                          <w:rFonts w:ascii="Calibri" w:eastAsia="Times New Roman" w:hAnsi="Calibri" w:cs="Times New Roman"/>
                        </w:rPr>
                        <w:t xml:space="preserve">If you have concerns about conduct that you think may be misleading or deceptive, contact Consumer Affairs on </w:t>
                      </w:r>
                      <w:r w:rsidRPr="0047298E">
                        <w:rPr>
                          <w:rFonts w:ascii="Calibri" w:eastAsia="Times New Roman" w:hAnsi="Calibri" w:cs="Times New Roman"/>
                        </w:rPr>
                        <w:br/>
                        <w:t>1800 019 319.</w:t>
                      </w:r>
                    </w:p>
                    <w:p w:rsidR="0047298E" w:rsidRPr="0047298E" w:rsidRDefault="0047298E" w:rsidP="0047298E">
                      <w:pPr>
                        <w:widowControl w:val="0"/>
                        <w:spacing w:line="240" w:lineRule="auto"/>
                        <w:jc w:val="both"/>
                        <w:rPr>
                          <w:rFonts w:ascii="Calibri" w:eastAsia="Times New Roman" w:hAnsi="Calibri" w:cs="Times New Roman"/>
                        </w:rPr>
                      </w:pPr>
                    </w:p>
                    <w:p w:rsidR="005F05C7" w:rsidRDefault="005F05C7"/>
                  </w:txbxContent>
                </v:textbox>
              </v:shape>
            </w:pict>
          </mc:Fallback>
        </mc:AlternateContent>
      </w:r>
    </w:p>
    <w:p w:rsidR="00074BFD" w:rsidRDefault="005E71D8">
      <w:pPr>
        <w:rPr>
          <w:noProof/>
          <w:lang w:eastAsia="en-AU"/>
        </w:rPr>
      </w:pPr>
      <w:r>
        <w:rPr>
          <w:noProof/>
          <w:lang w:eastAsia="en-AU"/>
        </w:rPr>
        <w:br/>
      </w:r>
    </w:p>
    <w:sectPr w:rsidR="00074B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9C" w:rsidRDefault="00973B9C">
    <w:pPr>
      <w:pStyle w:val="Footer"/>
    </w:pPr>
    <w:r w:rsidRPr="00973B9C">
      <w:rPr>
        <w:noProof/>
        <w:lang w:eastAsia="en-AU"/>
      </w:rPr>
      <mc:AlternateContent>
        <mc:Choice Requires="wps">
          <w:drawing>
            <wp:anchor distT="0" distB="0" distL="114300" distR="114300" simplePos="0" relativeHeight="251660288" behindDoc="0" locked="0" layoutInCell="1" allowOverlap="1" wp14:anchorId="3427419C" wp14:editId="610CD436">
              <wp:simplePos x="0" y="0"/>
              <wp:positionH relativeFrom="column">
                <wp:posOffset>-495300</wp:posOffset>
              </wp:positionH>
              <wp:positionV relativeFrom="paragraph">
                <wp:posOffset>-317500</wp:posOffset>
              </wp:positionV>
              <wp:extent cx="70199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7419C" id="_x0000_t202" coordsize="21600,21600" o:spt="202" path="m,l,21600r21600,l21600,xe">
              <v:stroke joinstyle="miter"/>
              <v:path gradientshapeok="t" o:connecttype="rect"/>
            </v:shapetype>
            <v:shape id="_x0000_s1029" type="#_x0000_t202" style="position:absolute;margin-left:-39pt;margin-top:-25pt;width:55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" filled="f" stroked="f">
              <v:textbox style="mso-fit-shape-to-text:t">
                <w:txbxContent>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973B9C" w:rsidRPr="00204CF2" w:rsidRDefault="00973B9C" w:rsidP="00973B9C">
                    <w:pPr>
                      <w:spacing w:after="0"/>
                      <w:jc w:val="center"/>
                      <w:rPr>
                        <w:rFonts w:ascii="Arial" w:hAnsi="Arial" w:cs="Arial"/>
                        <w:b/>
                        <w:color w:val="FFFFFF" w:themeColor="background1"/>
                        <w:sz w:val="16"/>
                        <w:szCs w:val="16"/>
                      </w:rPr>
                    </w:pP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973B9C" w:rsidRPr="00204CF2" w:rsidRDefault="00973B9C" w:rsidP="00973B9C">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sidRPr="00973B9C">
      <w:rPr>
        <w:noProof/>
        <w:lang w:eastAsia="en-AU"/>
      </w:rPr>
      <w:drawing>
        <wp:anchor distT="0" distB="0" distL="114300" distR="114300" simplePos="0" relativeHeight="251659264" behindDoc="1" locked="0" layoutInCell="1" allowOverlap="1" wp14:anchorId="443613F4" wp14:editId="69A8468A">
          <wp:simplePos x="0" y="0"/>
          <wp:positionH relativeFrom="column">
            <wp:posOffset>-914400</wp:posOffset>
          </wp:positionH>
          <wp:positionV relativeFrom="paragraph">
            <wp:posOffset>-1169670</wp:posOffset>
          </wp:positionV>
          <wp:extent cx="7581900" cy="1829244"/>
          <wp:effectExtent l="0" t="0" r="0" b="0"/>
          <wp:wrapNone/>
          <wp:docPr id="8" name="Picture 8"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F5673"/>
    <w:multiLevelType w:val="hybridMultilevel"/>
    <w:tmpl w:val="66C2A1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D2386"/>
    <w:multiLevelType w:val="hybridMultilevel"/>
    <w:tmpl w:val="131439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F77019"/>
    <w:multiLevelType w:val="hybridMultilevel"/>
    <w:tmpl w:val="5F4C5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114739"/>
    <w:rsid w:val="00305242"/>
    <w:rsid w:val="00305445"/>
    <w:rsid w:val="004215B8"/>
    <w:rsid w:val="00430AF0"/>
    <w:rsid w:val="0047298E"/>
    <w:rsid w:val="00561535"/>
    <w:rsid w:val="005E71D8"/>
    <w:rsid w:val="005F05C7"/>
    <w:rsid w:val="00792C55"/>
    <w:rsid w:val="008118B9"/>
    <w:rsid w:val="008B73E7"/>
    <w:rsid w:val="00973B9C"/>
    <w:rsid w:val="00AF7EAD"/>
    <w:rsid w:val="00C33CD1"/>
    <w:rsid w:val="00EE4E87"/>
    <w:rsid w:val="00EF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docId w15:val="{0A2CE592-6B94-4EFA-BCE8-82D33B8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9E280-B3A3-4DE8-A37E-8F0916C34CD1}"/>
</file>

<file path=customXml/itemProps2.xml><?xml version="1.0" encoding="utf-8"?>
<ds:datastoreItem xmlns:ds="http://schemas.openxmlformats.org/officeDocument/2006/customXml" ds:itemID="{F9BE9672-AF37-4DAA-A2A9-1B7DAF428D25}"/>
</file>

<file path=customXml/itemProps3.xml><?xml version="1.0" encoding="utf-8"?>
<ds:datastoreItem xmlns:ds="http://schemas.openxmlformats.org/officeDocument/2006/customXml" ds:itemID="{07288E49-8C40-4BC8-B49D-B9EC825E7BB6}"/>
</file>

<file path=customXml/itemProps4.xml><?xml version="1.0" encoding="utf-8"?>
<ds:datastoreItem xmlns:ds="http://schemas.openxmlformats.org/officeDocument/2006/customXml" ds:itemID="{75D6E206-E22A-4076-850A-B6E1543C54D5}"/>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2017-07-20T01:30:00Z</dcterms:created>
  <dcterms:modified xsi:type="dcterms:W3CDTF">2017-07-20T01:30:00Z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